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69" w:rsidRPr="002D4D75" w:rsidRDefault="002D4D75" w:rsidP="002D4D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D75">
        <w:rPr>
          <w:rFonts w:ascii="Times New Roman" w:hAnsi="Times New Roman" w:cs="Times New Roman"/>
          <w:b/>
          <w:bCs/>
          <w:sz w:val="24"/>
          <w:szCs w:val="24"/>
        </w:rPr>
        <w:t xml:space="preserve">Kuzey Kıbrıs Türk Cumhuriyeti Cumhuriyet Meclisi’nin </w:t>
      </w:r>
      <w:r>
        <w:rPr>
          <w:rFonts w:ascii="Times New Roman" w:hAnsi="Times New Roman" w:cs="Times New Roman"/>
          <w:b/>
          <w:bCs/>
          <w:sz w:val="24"/>
          <w:szCs w:val="24"/>
        </w:rPr>
        <w:t>18 Aralık 2017</w:t>
      </w:r>
      <w:r w:rsidRPr="002D4D75">
        <w:rPr>
          <w:rFonts w:ascii="Times New Roman" w:hAnsi="Times New Roman" w:cs="Times New Roman"/>
          <w:b/>
          <w:bCs/>
          <w:sz w:val="24"/>
          <w:szCs w:val="24"/>
        </w:rPr>
        <w:t xml:space="preserve"> tarihli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Doksanaltıncı</w:t>
      </w:r>
      <w:proofErr w:type="spellEnd"/>
      <w:r w:rsidRPr="002D4D75">
        <w:rPr>
          <w:rFonts w:ascii="Times New Roman" w:hAnsi="Times New Roman" w:cs="Times New Roman"/>
          <w:b/>
          <w:bCs/>
          <w:sz w:val="24"/>
          <w:szCs w:val="24"/>
        </w:rPr>
        <w:t xml:space="preserve"> Birleşiminde Oybirliğiyle kabul olunan “</w:t>
      </w:r>
      <w:r>
        <w:rPr>
          <w:rFonts w:ascii="Times New Roman" w:hAnsi="Times New Roman" w:cs="Times New Roman"/>
          <w:b/>
          <w:bCs/>
          <w:sz w:val="24"/>
          <w:szCs w:val="24"/>
        </w:rPr>
        <w:t>Kamu Sağlık Çalışanları</w:t>
      </w:r>
      <w:r w:rsidRPr="002D4D75">
        <w:rPr>
          <w:rFonts w:ascii="Times New Roman" w:hAnsi="Times New Roman" w:cs="Times New Roman"/>
          <w:b/>
          <w:bCs/>
          <w:sz w:val="24"/>
          <w:szCs w:val="24"/>
        </w:rPr>
        <w:t xml:space="preserve"> (Değişiklik) Yasası” Anayasanın 94’üncü maddesinin (1)’inci fıkrası gereğince Kuzey Kıbrıs Türk Cumhuriyeti Cumhurbaşkanı tarafından Resmi </w:t>
      </w:r>
      <w:proofErr w:type="spellStart"/>
      <w:r w:rsidRPr="002D4D75">
        <w:rPr>
          <w:rFonts w:ascii="Times New Roman" w:hAnsi="Times New Roman" w:cs="Times New Roman"/>
          <w:b/>
          <w:bCs/>
          <w:sz w:val="24"/>
          <w:szCs w:val="24"/>
        </w:rPr>
        <w:t>Gazete’de</w:t>
      </w:r>
      <w:proofErr w:type="spellEnd"/>
      <w:r w:rsidRPr="002D4D75">
        <w:rPr>
          <w:rFonts w:ascii="Times New Roman" w:hAnsi="Times New Roman" w:cs="Times New Roman"/>
          <w:b/>
          <w:bCs/>
          <w:sz w:val="24"/>
          <w:szCs w:val="24"/>
        </w:rPr>
        <w:t xml:space="preserve"> yayımlanmak suretiyle ilan olunur.</w:t>
      </w:r>
    </w:p>
    <w:p w:rsidR="002D4D75" w:rsidRDefault="002D4D75" w:rsidP="002D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D75" w:rsidRDefault="002D4D75" w:rsidP="002D4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Sayı:1/2018</w:t>
      </w:r>
    </w:p>
    <w:p w:rsidR="002D4D75" w:rsidRDefault="002D4D75" w:rsidP="002D4D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D75" w:rsidRPr="00403743" w:rsidRDefault="002D4D75" w:rsidP="0040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496"/>
        <w:gridCol w:w="1510"/>
        <w:gridCol w:w="259"/>
        <w:gridCol w:w="491"/>
        <w:gridCol w:w="4919"/>
        <w:gridCol w:w="37"/>
      </w:tblGrid>
      <w:tr w:rsidR="00E1797B" w:rsidRPr="00403743" w:rsidTr="00567378">
        <w:trPr>
          <w:gridAfter w:val="1"/>
          <w:wAfter w:w="37" w:type="dxa"/>
        </w:trPr>
        <w:tc>
          <w:tcPr>
            <w:tcW w:w="9251" w:type="dxa"/>
            <w:gridSpan w:val="6"/>
          </w:tcPr>
          <w:p w:rsidR="00E1797B" w:rsidRPr="00403743" w:rsidRDefault="00E1797B" w:rsidP="007D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KAMU SAĞLIK ÇALIŞANLARI (DEĞİŞİKLİK) YASA</w:t>
            </w:r>
            <w:r w:rsidR="007D0170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3B6B79" w:rsidRPr="00403743" w:rsidTr="00567378">
        <w:trPr>
          <w:gridAfter w:val="1"/>
          <w:wAfter w:w="37" w:type="dxa"/>
        </w:trPr>
        <w:tc>
          <w:tcPr>
            <w:tcW w:w="9251" w:type="dxa"/>
            <w:gridSpan w:val="6"/>
          </w:tcPr>
          <w:p w:rsidR="003B6B79" w:rsidRPr="00403743" w:rsidRDefault="003B6B79" w:rsidP="0040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B6" w:rsidRDefault="005B04B6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3B6B79"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Kuzey Kıbrıs Türk Cumhuriyeti Cumhuriyet Meclisi aşağıdaki Yasayı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B6B79" w:rsidRPr="00403743" w:rsidRDefault="005B04B6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="003B6B79" w:rsidRPr="00403743">
              <w:rPr>
                <w:rFonts w:ascii="Times New Roman" w:hAnsi="Times New Roman" w:cs="Times New Roman"/>
                <w:sz w:val="24"/>
                <w:szCs w:val="24"/>
              </w:rPr>
              <w:t>yapar</w:t>
            </w:r>
            <w:proofErr w:type="gramEnd"/>
            <w:r w:rsidR="003B6B79" w:rsidRPr="004037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B6B79" w:rsidRPr="00403743" w:rsidTr="00567378">
        <w:trPr>
          <w:gridAfter w:val="1"/>
          <w:wAfter w:w="37" w:type="dxa"/>
        </w:trPr>
        <w:tc>
          <w:tcPr>
            <w:tcW w:w="9251" w:type="dxa"/>
            <w:gridSpan w:val="6"/>
          </w:tcPr>
          <w:p w:rsidR="003B6B79" w:rsidRPr="00403743" w:rsidRDefault="003B6B79" w:rsidP="00403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6DE" w:rsidRPr="00403743" w:rsidTr="00DD31BE">
        <w:tc>
          <w:tcPr>
            <w:tcW w:w="1576" w:type="dxa"/>
          </w:tcPr>
          <w:p w:rsidR="001656DE" w:rsidRPr="00403743" w:rsidRDefault="0041609F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Kı</w:t>
            </w:r>
            <w:r w:rsidR="001656DE"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sa İsim </w:t>
            </w:r>
          </w:p>
          <w:p w:rsidR="001656DE" w:rsidRPr="00403743" w:rsidRDefault="001656DE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6/2009</w:t>
            </w:r>
          </w:p>
          <w:p w:rsidR="001656DE" w:rsidRPr="00403743" w:rsidRDefault="001656DE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39F8"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75/2009</w:t>
            </w:r>
          </w:p>
          <w:p w:rsidR="001656DE" w:rsidRPr="00403743" w:rsidRDefault="001656DE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39F8"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37/2010</w:t>
            </w:r>
          </w:p>
          <w:p w:rsidR="00BB39F8" w:rsidRPr="00403743" w:rsidRDefault="00BB39F8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49/2010</w:t>
            </w:r>
          </w:p>
          <w:p w:rsidR="001656DE" w:rsidRPr="00403743" w:rsidRDefault="00BB39F8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56DE" w:rsidRPr="00403743">
              <w:rPr>
                <w:rFonts w:ascii="Times New Roman" w:hAnsi="Times New Roman" w:cs="Times New Roman"/>
                <w:sz w:val="24"/>
                <w:szCs w:val="24"/>
              </w:rPr>
              <w:t>18/2017</w:t>
            </w:r>
          </w:p>
          <w:p w:rsidR="001656DE" w:rsidRPr="00403743" w:rsidRDefault="00BB39F8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47/2017</w:t>
            </w:r>
          </w:p>
        </w:tc>
        <w:tc>
          <w:tcPr>
            <w:tcW w:w="7712" w:type="dxa"/>
            <w:gridSpan w:val="6"/>
          </w:tcPr>
          <w:p w:rsidR="00BB39F8" w:rsidRPr="00403743" w:rsidRDefault="001656DE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1. Bu Yasa, Kamu Sağlık Çalışanları (Değişiklik) Yasası olarak isimlendirilir ve aşağıda “Esas Yasa” olarak anılan Kamu Sağlık Çalışanları Yasası ile birlikte okunur.</w:t>
            </w:r>
            <w:r w:rsidR="00BB39F8" w:rsidRPr="004037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6DE" w:rsidRPr="00403743" w:rsidRDefault="001656DE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91" w:rsidRPr="00403743" w:rsidTr="00DD31BE">
        <w:tc>
          <w:tcPr>
            <w:tcW w:w="1576" w:type="dxa"/>
          </w:tcPr>
          <w:p w:rsidR="006E2291" w:rsidRPr="00403743" w:rsidRDefault="006E2291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2" w:type="dxa"/>
            <w:gridSpan w:val="6"/>
          </w:tcPr>
          <w:p w:rsidR="006E2291" w:rsidRPr="00403743" w:rsidRDefault="006E2291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91" w:rsidRPr="00403743" w:rsidTr="006E2291">
        <w:trPr>
          <w:trHeight w:val="3551"/>
        </w:trPr>
        <w:tc>
          <w:tcPr>
            <w:tcW w:w="1576" w:type="dxa"/>
          </w:tcPr>
          <w:p w:rsidR="006E2291" w:rsidRPr="00403743" w:rsidRDefault="006E2291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Geçici Madde </w:t>
            </w:r>
          </w:p>
          <w:p w:rsidR="006E2291" w:rsidRPr="00403743" w:rsidRDefault="006E2291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Kıbrıs Türk Sosyal Sigortalar Yasası veya</w:t>
            </w:r>
          </w:p>
          <w:p w:rsidR="006E2291" w:rsidRPr="00403743" w:rsidRDefault="006E2291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Sosyal Güvenlik Yasası Kapsamında Bulunan Hekimlerin Hakları İle İlgili Kurallar</w:t>
            </w:r>
          </w:p>
        </w:tc>
        <w:tc>
          <w:tcPr>
            <w:tcW w:w="7712" w:type="dxa"/>
            <w:gridSpan w:val="6"/>
          </w:tcPr>
          <w:p w:rsidR="006E2291" w:rsidRPr="00403743" w:rsidRDefault="006E2291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1. Bu Yasa kapsamında Tabiplik Hizmetleri sınıfında veya sözleşmeli personel olarak görev yapan ve Kıbrıs Türk Sosyal Sigortalar Yasası </w:t>
            </w:r>
            <w:proofErr w:type="gram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veya  Sosyal</w:t>
            </w:r>
            <w:proofErr w:type="gram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Güvenlik Yasası kapsamında olup da </w:t>
            </w:r>
            <w:r w:rsidR="0041609F" w:rsidRPr="00403743">
              <w:rPr>
                <w:rFonts w:ascii="Times New Roman" w:hAnsi="Times New Roman" w:cs="Times New Roman"/>
                <w:sz w:val="24"/>
                <w:szCs w:val="24"/>
              </w:rPr>
              <w:t>Kamu Çalışanlarının Aylık (Maaş-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Ücret) ve 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Ödeneklerinin Düzenlenmesi Yasası kapsamında bulunmayan h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>ekimler, bu (Değişiklik) Yasası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nın yürürlüğe girdiği t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>arihten başlayarak en geç 6 (altı)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ay içerisinde Maliye İşleri İle Görevli Bakanlığa yazı ile başvurmaları halinde,</w:t>
            </w:r>
            <w:r w:rsidR="00BE51EC"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609F" w:rsidRPr="00403743">
              <w:rPr>
                <w:rFonts w:ascii="Times New Roman" w:hAnsi="Times New Roman" w:cs="Times New Roman"/>
                <w:sz w:val="24"/>
                <w:szCs w:val="24"/>
              </w:rPr>
              <w:t>amu Çalışanlarının Aylık (Maaş-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Ücret) ve 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>erinin Düzenlenmesi Yasası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nın 4’üncü maddesinin 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’inci fıkrasının kurallarına bakılmaksızın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aşağıdaki kurallar çerçevesinde K</w:t>
            </w:r>
            <w:r w:rsidR="0041609F" w:rsidRPr="00403743">
              <w:rPr>
                <w:rFonts w:ascii="Times New Roman" w:hAnsi="Times New Roman" w:cs="Times New Roman"/>
                <w:sz w:val="24"/>
                <w:szCs w:val="24"/>
              </w:rPr>
              <w:t>amu Çalışanlarının Aylık (Maaş-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Ücret) ve 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Ödeneklerinin Düzenlenmesi Yasası kapsamına girerler ve kendilerine mali kurallar açısından Kamu </w:t>
            </w:r>
            <w:r w:rsidR="0041609F" w:rsidRPr="00403743">
              <w:rPr>
                <w:rFonts w:ascii="Times New Roman" w:hAnsi="Times New Roman" w:cs="Times New Roman"/>
                <w:sz w:val="24"/>
                <w:szCs w:val="24"/>
              </w:rPr>
              <w:t>Çalışanlarının Aylık (Maaş-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Ücret) ve 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Ödeneklerinin Düzenlenmesi Yasası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 xml:space="preserve"> kuralları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aynen uygulanır.</w:t>
            </w:r>
          </w:p>
        </w:tc>
      </w:tr>
      <w:tr w:rsidR="00DC5469" w:rsidRPr="00403743" w:rsidTr="006E2291">
        <w:tc>
          <w:tcPr>
            <w:tcW w:w="1576" w:type="dxa"/>
            <w:vMerge w:val="restart"/>
          </w:tcPr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16/1976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12/1979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9/1981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43/1982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26/1985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36/1988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14/1990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20/1991</w:t>
            </w:r>
          </w:p>
          <w:p w:rsidR="00DC5469" w:rsidRPr="00403743" w:rsidRDefault="006807DB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45/19</w:t>
            </w:r>
            <w:r w:rsidR="00DC5469" w:rsidRPr="00403743">
              <w:rPr>
                <w:rFonts w:ascii="Times New Roman" w:hAnsi="Times New Roman" w:cs="Times New Roman"/>
                <w:sz w:val="24"/>
                <w:szCs w:val="24"/>
              </w:rPr>
              <w:t>8l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22/2001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32/2002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9/2003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18/2003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56/2003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12/2005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8/2006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62/2006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29/2007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16/2008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42/2008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79/2009</w:t>
            </w:r>
          </w:p>
          <w:p w:rsidR="00DC5469" w:rsidRPr="00403743" w:rsidRDefault="006807DB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2/20</w:t>
            </w:r>
            <w:r w:rsidR="00DC5469" w:rsidRPr="00403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2/2012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37/2015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29/2017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30/2017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73/2007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80/2009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4/2010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5/2012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26/2013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36/2015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28/2017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31/2017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47/2010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33/2013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18/2014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  4/2015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46/2015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45/2017</w:t>
            </w:r>
          </w:p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  66/2017</w:t>
            </w:r>
          </w:p>
        </w:tc>
        <w:tc>
          <w:tcPr>
            <w:tcW w:w="496" w:type="dxa"/>
          </w:tcPr>
          <w:p w:rsidR="00DC5469" w:rsidRPr="00403743" w:rsidRDefault="00DC5469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7216" w:type="dxa"/>
            <w:gridSpan w:val="5"/>
          </w:tcPr>
          <w:p w:rsidR="00DC5469" w:rsidRPr="00403743" w:rsidRDefault="00DC5469" w:rsidP="0068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Bu Yasa kapsam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 xml:space="preserve">ında Tabiplik Hizmetleri Sınıfının </w:t>
            </w:r>
            <w:proofErr w:type="spellStart"/>
            <w:proofErr w:type="gramStart"/>
            <w:r w:rsidR="006807DB">
              <w:rPr>
                <w:rFonts w:ascii="Times New Roman" w:hAnsi="Times New Roman" w:cs="Times New Roman"/>
                <w:sz w:val="24"/>
                <w:szCs w:val="24"/>
              </w:rPr>
              <w:t>II.Derecesin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proofErr w:type="gram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atanmış olan hekimlerin baremleri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Kamu Çalışanlarının Aylık        (Maaş-Ücret) ve 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Ödeneklerinin Düzenlenmesi Yasasında yer alan Tabiplik Hizmetleri Sınıfının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II.Derecesinde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öngörülen bareme intibak ettirilir.</w:t>
            </w:r>
          </w:p>
        </w:tc>
      </w:tr>
      <w:tr w:rsidR="00DC5469" w:rsidRPr="00403743" w:rsidTr="006E2291">
        <w:trPr>
          <w:trHeight w:val="1122"/>
        </w:trPr>
        <w:tc>
          <w:tcPr>
            <w:tcW w:w="1576" w:type="dxa"/>
            <w:vMerge/>
          </w:tcPr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C5469" w:rsidRPr="00403743" w:rsidRDefault="00DC5469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216" w:type="dxa"/>
            <w:gridSpan w:val="5"/>
          </w:tcPr>
          <w:p w:rsidR="00DC5469" w:rsidRPr="00403743" w:rsidRDefault="00DC5469" w:rsidP="00680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Bu Yasa kapsamın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>da Tabiplik Hizmetleri Sınıfının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III.Derecesine</w:t>
            </w:r>
            <w:proofErr w:type="spellEnd"/>
            <w:proofErr w:type="gram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atanmış olan hekimlerin baremleri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Kamu Çalışanlarının Aylık       (Maaş-Ücret) ve 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Ödeneklerinin Düzenlenmesi Yasasında yer alan Tabiplik Hizmetleri Sınıfının </w:t>
            </w:r>
            <w:proofErr w:type="spellStart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III.Derecesinde</w:t>
            </w:r>
            <w:proofErr w:type="spellEnd"/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öngörülen bareme intibak ettirilir.</w:t>
            </w:r>
          </w:p>
        </w:tc>
      </w:tr>
      <w:tr w:rsidR="00DC5469" w:rsidRPr="00403743" w:rsidTr="006E2291">
        <w:tc>
          <w:tcPr>
            <w:tcW w:w="1576" w:type="dxa"/>
            <w:vMerge/>
          </w:tcPr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C5469" w:rsidRPr="00403743" w:rsidRDefault="00DC5469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216" w:type="dxa"/>
            <w:gridSpan w:val="5"/>
          </w:tcPr>
          <w:p w:rsidR="00DC5469" w:rsidRPr="00403743" w:rsidRDefault="00DC5469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Bu Yasa kapsamında sözleşmeli personel olarak istihdam edilen hekimlerin sözleşmeleri, aylık ve ödenekleri benzer görevi yürüten kamu sağlık çalışanlarının aylık ve ödenekleri dikkate alınarak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Kamu Çalışanlarının Aylık (Maaş-Ücret) ve </w:t>
            </w:r>
            <w:r w:rsidR="00DF5BE1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Ödeneklerinin Düzenlenmesi Yasasında yer alan barem çerçevesinde düzenlenir. </w:t>
            </w:r>
          </w:p>
        </w:tc>
      </w:tr>
      <w:tr w:rsidR="00DC5469" w:rsidRPr="00403743" w:rsidTr="006E2291">
        <w:tc>
          <w:tcPr>
            <w:tcW w:w="1576" w:type="dxa"/>
            <w:vMerge/>
          </w:tcPr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DC5469" w:rsidRPr="00403743" w:rsidRDefault="00DC5469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216" w:type="dxa"/>
            <w:gridSpan w:val="5"/>
          </w:tcPr>
          <w:p w:rsidR="00DC5469" w:rsidRPr="00403743" w:rsidRDefault="00DF5BE1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Yukarıda</w:t>
            </w:r>
            <w:r w:rsidR="00DC5469" w:rsidRPr="00403743">
              <w:rPr>
                <w:rFonts w:ascii="Times New Roman" w:hAnsi="Times New Roman" w:cs="Times New Roman"/>
                <w:sz w:val="24"/>
                <w:szCs w:val="24"/>
              </w:rPr>
              <w:t>ki (1),</w:t>
            </w:r>
            <w:r w:rsidR="00680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469" w:rsidRPr="00403743">
              <w:rPr>
                <w:rFonts w:ascii="Times New Roman" w:hAnsi="Times New Roman" w:cs="Times New Roman"/>
                <w:sz w:val="24"/>
                <w:szCs w:val="24"/>
              </w:rPr>
              <w:t>(2) ve (3)’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DC5469" w:rsidRPr="00403743">
              <w:rPr>
                <w:rFonts w:ascii="Times New Roman" w:hAnsi="Times New Roman" w:cs="Times New Roman"/>
                <w:sz w:val="24"/>
                <w:szCs w:val="24"/>
              </w:rPr>
              <w:t>ncü fıkrada yer alan düzenlemelerde hekimlerin hizmet yılları da dikkate alınır.</w:t>
            </w:r>
          </w:p>
        </w:tc>
      </w:tr>
      <w:tr w:rsidR="00DC5469" w:rsidRPr="00403743" w:rsidTr="00BB39F8">
        <w:tc>
          <w:tcPr>
            <w:tcW w:w="1576" w:type="dxa"/>
            <w:vMerge/>
          </w:tcPr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</w:tcPr>
          <w:p w:rsidR="00DC5469" w:rsidRPr="00403743" w:rsidRDefault="00DC5469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DC5469" w:rsidRPr="00403743" w:rsidRDefault="00DC5469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2"/>
          </w:tcPr>
          <w:p w:rsidR="00DC5469" w:rsidRPr="00403743" w:rsidRDefault="00DC5469" w:rsidP="00403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291" w:rsidRPr="00403743" w:rsidTr="00BB39F8">
        <w:tc>
          <w:tcPr>
            <w:tcW w:w="1576" w:type="dxa"/>
          </w:tcPr>
          <w:p w:rsidR="006E2291" w:rsidRPr="00403743" w:rsidRDefault="006E2291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6E2291" w:rsidRPr="00403743" w:rsidRDefault="006E2291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7" w:type="dxa"/>
            <w:gridSpan w:val="3"/>
          </w:tcPr>
          <w:p w:rsidR="006E2291" w:rsidRPr="00403743" w:rsidRDefault="006E2291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EC" w:rsidRPr="00403743" w:rsidTr="00F611FE">
        <w:tc>
          <w:tcPr>
            <w:tcW w:w="1576" w:type="dxa"/>
          </w:tcPr>
          <w:p w:rsidR="00BE51EC" w:rsidRPr="00403743" w:rsidRDefault="00BE51EC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743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712" w:type="dxa"/>
            <w:gridSpan w:val="6"/>
          </w:tcPr>
          <w:p w:rsidR="00BE51EC" w:rsidRPr="00403743" w:rsidRDefault="00083237" w:rsidP="0040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51EC"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. Bu Yasa, Resmi </w:t>
            </w:r>
            <w:proofErr w:type="spellStart"/>
            <w:r w:rsidR="00BE51EC" w:rsidRPr="00403743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="00BE51EC" w:rsidRPr="00403743">
              <w:rPr>
                <w:rFonts w:ascii="Times New Roman" w:hAnsi="Times New Roman" w:cs="Times New Roman"/>
                <w:sz w:val="24"/>
                <w:szCs w:val="24"/>
              </w:rPr>
              <w:t xml:space="preserve"> yayımlandığı tarihten başlayarak yürürlüğe girer.</w:t>
            </w:r>
          </w:p>
        </w:tc>
      </w:tr>
    </w:tbl>
    <w:p w:rsidR="00014A19" w:rsidRPr="00403743" w:rsidRDefault="00014A19" w:rsidP="00403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4A19" w:rsidRPr="00403743" w:rsidSect="0001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31"/>
    <w:rsid w:val="00014A19"/>
    <w:rsid w:val="00016415"/>
    <w:rsid w:val="0005448C"/>
    <w:rsid w:val="00083237"/>
    <w:rsid w:val="000A45A5"/>
    <w:rsid w:val="000D145D"/>
    <w:rsid w:val="000E52C5"/>
    <w:rsid w:val="000F210B"/>
    <w:rsid w:val="00110CFB"/>
    <w:rsid w:val="001656DE"/>
    <w:rsid w:val="00191BBB"/>
    <w:rsid w:val="00193FCE"/>
    <w:rsid w:val="001F3A3C"/>
    <w:rsid w:val="00234431"/>
    <w:rsid w:val="0026207A"/>
    <w:rsid w:val="00276B26"/>
    <w:rsid w:val="002A6F4D"/>
    <w:rsid w:val="002B0253"/>
    <w:rsid w:val="002B3AE5"/>
    <w:rsid w:val="002D4D75"/>
    <w:rsid w:val="0030322C"/>
    <w:rsid w:val="00321A65"/>
    <w:rsid w:val="00384468"/>
    <w:rsid w:val="003908EE"/>
    <w:rsid w:val="00394EAD"/>
    <w:rsid w:val="003B07D6"/>
    <w:rsid w:val="003B6B79"/>
    <w:rsid w:val="003C14DE"/>
    <w:rsid w:val="00403743"/>
    <w:rsid w:val="0041609F"/>
    <w:rsid w:val="004533B9"/>
    <w:rsid w:val="0045401A"/>
    <w:rsid w:val="00457023"/>
    <w:rsid w:val="004604CB"/>
    <w:rsid w:val="00480E40"/>
    <w:rsid w:val="00485425"/>
    <w:rsid w:val="004929C3"/>
    <w:rsid w:val="004A2DC0"/>
    <w:rsid w:val="004F246F"/>
    <w:rsid w:val="005054D5"/>
    <w:rsid w:val="00567378"/>
    <w:rsid w:val="005A03D5"/>
    <w:rsid w:val="005A54BB"/>
    <w:rsid w:val="005B04B6"/>
    <w:rsid w:val="00624259"/>
    <w:rsid w:val="0063716C"/>
    <w:rsid w:val="00656317"/>
    <w:rsid w:val="0067672C"/>
    <w:rsid w:val="006807DB"/>
    <w:rsid w:val="006C09DB"/>
    <w:rsid w:val="006E2291"/>
    <w:rsid w:val="006E667A"/>
    <w:rsid w:val="00727798"/>
    <w:rsid w:val="007361DF"/>
    <w:rsid w:val="00755A69"/>
    <w:rsid w:val="007623B2"/>
    <w:rsid w:val="007767D7"/>
    <w:rsid w:val="00794AAC"/>
    <w:rsid w:val="007A6769"/>
    <w:rsid w:val="007D0170"/>
    <w:rsid w:val="007F6896"/>
    <w:rsid w:val="007F7740"/>
    <w:rsid w:val="00801B8F"/>
    <w:rsid w:val="0081352D"/>
    <w:rsid w:val="00840E2D"/>
    <w:rsid w:val="00872156"/>
    <w:rsid w:val="008C57A8"/>
    <w:rsid w:val="00903C4B"/>
    <w:rsid w:val="00910F38"/>
    <w:rsid w:val="00952347"/>
    <w:rsid w:val="00973CD8"/>
    <w:rsid w:val="00A14192"/>
    <w:rsid w:val="00A27D84"/>
    <w:rsid w:val="00A87831"/>
    <w:rsid w:val="00A91390"/>
    <w:rsid w:val="00A94C39"/>
    <w:rsid w:val="00A96713"/>
    <w:rsid w:val="00AA1BBE"/>
    <w:rsid w:val="00AC0AD2"/>
    <w:rsid w:val="00AC154E"/>
    <w:rsid w:val="00AE794F"/>
    <w:rsid w:val="00B100F2"/>
    <w:rsid w:val="00B10B82"/>
    <w:rsid w:val="00B1565F"/>
    <w:rsid w:val="00B411F9"/>
    <w:rsid w:val="00B628B8"/>
    <w:rsid w:val="00BA11EB"/>
    <w:rsid w:val="00BB39F8"/>
    <w:rsid w:val="00BC055B"/>
    <w:rsid w:val="00BC4F75"/>
    <w:rsid w:val="00BE51EC"/>
    <w:rsid w:val="00BE526E"/>
    <w:rsid w:val="00C669FA"/>
    <w:rsid w:val="00C87CAB"/>
    <w:rsid w:val="00D43B6A"/>
    <w:rsid w:val="00D6328B"/>
    <w:rsid w:val="00D7566F"/>
    <w:rsid w:val="00DA5E7B"/>
    <w:rsid w:val="00DC5469"/>
    <w:rsid w:val="00DF5BE1"/>
    <w:rsid w:val="00E03670"/>
    <w:rsid w:val="00E1797B"/>
    <w:rsid w:val="00E21553"/>
    <w:rsid w:val="00E30B19"/>
    <w:rsid w:val="00E476F2"/>
    <w:rsid w:val="00E62A99"/>
    <w:rsid w:val="00E65947"/>
    <w:rsid w:val="00ED6009"/>
    <w:rsid w:val="00F97A00"/>
    <w:rsid w:val="00FB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DE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43B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43B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43B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43B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43B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43B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43B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43B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43B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6A"/>
    <w:pPr>
      <w:ind w:left="720"/>
      <w:contextualSpacing/>
    </w:pPr>
  </w:style>
  <w:style w:type="character" w:styleId="Strong">
    <w:name w:val="Strong"/>
    <w:uiPriority w:val="22"/>
    <w:qFormat/>
    <w:rsid w:val="00D43B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3B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B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B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B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B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B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B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B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43B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B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43B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B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D43B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3B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3B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3B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B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B6A"/>
    <w:rPr>
      <w:b/>
      <w:bCs/>
      <w:i/>
      <w:iCs/>
    </w:rPr>
  </w:style>
  <w:style w:type="character" w:styleId="SubtleEmphasis">
    <w:name w:val="Subtle Emphasis"/>
    <w:uiPriority w:val="19"/>
    <w:qFormat/>
    <w:rsid w:val="00D43B6A"/>
    <w:rPr>
      <w:i/>
      <w:iCs/>
    </w:rPr>
  </w:style>
  <w:style w:type="character" w:styleId="IntenseEmphasis">
    <w:name w:val="Intense Emphasis"/>
    <w:uiPriority w:val="21"/>
    <w:qFormat/>
    <w:rsid w:val="00D43B6A"/>
    <w:rPr>
      <w:b/>
      <w:bCs/>
    </w:rPr>
  </w:style>
  <w:style w:type="character" w:styleId="SubtleReference">
    <w:name w:val="Subtle Reference"/>
    <w:uiPriority w:val="31"/>
    <w:qFormat/>
    <w:rsid w:val="00D43B6A"/>
    <w:rPr>
      <w:smallCaps/>
    </w:rPr>
  </w:style>
  <w:style w:type="character" w:styleId="IntenseReference">
    <w:name w:val="Intense Reference"/>
    <w:uiPriority w:val="32"/>
    <w:qFormat/>
    <w:rsid w:val="00D43B6A"/>
    <w:rPr>
      <w:smallCaps/>
      <w:spacing w:val="5"/>
      <w:u w:val="single"/>
    </w:rPr>
  </w:style>
  <w:style w:type="character" w:styleId="BookTitle">
    <w:name w:val="Book Title"/>
    <w:uiPriority w:val="33"/>
    <w:qFormat/>
    <w:rsid w:val="00D43B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B6A"/>
    <w:pPr>
      <w:outlineLvl w:val="9"/>
    </w:pPr>
  </w:style>
  <w:style w:type="table" w:styleId="TableGrid">
    <w:name w:val="Table Grid"/>
    <w:basedOn w:val="TableNormal"/>
    <w:uiPriority w:val="59"/>
    <w:rsid w:val="00E17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yfaNumaras1">
    <w:name w:val="Sayfa Numarası1"/>
    <w:rsid w:val="007F77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DE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43B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43B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43B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43B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43B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43B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43B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43B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43B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6A"/>
    <w:pPr>
      <w:ind w:left="720"/>
      <w:contextualSpacing/>
    </w:pPr>
  </w:style>
  <w:style w:type="character" w:styleId="Strong">
    <w:name w:val="Strong"/>
    <w:uiPriority w:val="22"/>
    <w:qFormat/>
    <w:rsid w:val="00D43B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43B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B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B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3B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B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3B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3B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3B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3B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43B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B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43B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B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D43B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43B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3B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3B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3B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3B6A"/>
    <w:rPr>
      <w:b/>
      <w:bCs/>
      <w:i/>
      <w:iCs/>
    </w:rPr>
  </w:style>
  <w:style w:type="character" w:styleId="SubtleEmphasis">
    <w:name w:val="Subtle Emphasis"/>
    <w:uiPriority w:val="19"/>
    <w:qFormat/>
    <w:rsid w:val="00D43B6A"/>
    <w:rPr>
      <w:i/>
      <w:iCs/>
    </w:rPr>
  </w:style>
  <w:style w:type="character" w:styleId="IntenseEmphasis">
    <w:name w:val="Intense Emphasis"/>
    <w:uiPriority w:val="21"/>
    <w:qFormat/>
    <w:rsid w:val="00D43B6A"/>
    <w:rPr>
      <w:b/>
      <w:bCs/>
    </w:rPr>
  </w:style>
  <w:style w:type="character" w:styleId="SubtleReference">
    <w:name w:val="Subtle Reference"/>
    <w:uiPriority w:val="31"/>
    <w:qFormat/>
    <w:rsid w:val="00D43B6A"/>
    <w:rPr>
      <w:smallCaps/>
    </w:rPr>
  </w:style>
  <w:style w:type="character" w:styleId="IntenseReference">
    <w:name w:val="Intense Reference"/>
    <w:uiPriority w:val="32"/>
    <w:qFormat/>
    <w:rsid w:val="00D43B6A"/>
    <w:rPr>
      <w:smallCaps/>
      <w:spacing w:val="5"/>
      <w:u w:val="single"/>
    </w:rPr>
  </w:style>
  <w:style w:type="character" w:styleId="BookTitle">
    <w:name w:val="Book Title"/>
    <w:uiPriority w:val="33"/>
    <w:qFormat/>
    <w:rsid w:val="00D43B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B6A"/>
    <w:pPr>
      <w:outlineLvl w:val="9"/>
    </w:pPr>
  </w:style>
  <w:style w:type="table" w:styleId="TableGrid">
    <w:name w:val="Table Grid"/>
    <w:basedOn w:val="TableNormal"/>
    <w:uiPriority w:val="59"/>
    <w:rsid w:val="00E17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yfaNumaras1">
    <w:name w:val="Sayfa Numarası1"/>
    <w:rsid w:val="007F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nedret argun</cp:lastModifiedBy>
  <cp:revision>3</cp:revision>
  <cp:lastPrinted>2017-12-15T14:16:00Z</cp:lastPrinted>
  <dcterms:created xsi:type="dcterms:W3CDTF">2018-01-15T09:32:00Z</dcterms:created>
  <dcterms:modified xsi:type="dcterms:W3CDTF">2018-01-15T09:36:00Z</dcterms:modified>
</cp:coreProperties>
</file>