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E7" w:rsidRPr="00B4437F" w:rsidRDefault="007757E7" w:rsidP="00770E48">
      <w:pPr>
        <w:jc w:val="center"/>
        <w:rPr>
          <w:sz w:val="24"/>
          <w:szCs w:val="24"/>
          <w:lang w:val="tr-TR"/>
        </w:rPr>
      </w:pPr>
      <w:bookmarkStart w:id="0" w:name="_GoBack"/>
      <w:bookmarkEnd w:id="0"/>
      <w:r w:rsidRPr="00B4437F">
        <w:rPr>
          <w:sz w:val="24"/>
          <w:szCs w:val="24"/>
          <w:lang w:val="tr-TR"/>
        </w:rPr>
        <w:t>TARIMSAL İLAÇLARIN DENETİMİ</w:t>
      </w:r>
    </w:p>
    <w:p w:rsidR="007757E7" w:rsidRDefault="007757E7" w:rsidP="00770E48">
      <w:pPr>
        <w:jc w:val="center"/>
        <w:rPr>
          <w:sz w:val="24"/>
          <w:szCs w:val="24"/>
          <w:lang w:val="tr-TR"/>
        </w:rPr>
      </w:pPr>
      <w:r w:rsidRPr="00B4437F">
        <w:rPr>
          <w:sz w:val="24"/>
          <w:szCs w:val="24"/>
          <w:lang w:val="tr-TR"/>
        </w:rPr>
        <w:t xml:space="preserve">HAKKINDA </w:t>
      </w:r>
      <w:r>
        <w:rPr>
          <w:sz w:val="24"/>
          <w:szCs w:val="24"/>
          <w:lang w:val="tr-TR"/>
        </w:rPr>
        <w:t xml:space="preserve">(DEĞİŞİKLİK) </w:t>
      </w:r>
      <w:r w:rsidRPr="00B4437F">
        <w:rPr>
          <w:sz w:val="24"/>
          <w:szCs w:val="24"/>
          <w:lang w:val="tr-TR"/>
        </w:rPr>
        <w:t>YASA</w:t>
      </w:r>
      <w:r>
        <w:rPr>
          <w:sz w:val="24"/>
          <w:szCs w:val="24"/>
          <w:lang w:val="tr-TR"/>
        </w:rPr>
        <w:t xml:space="preserve"> TASARISININ GENEL GEREKÇESİ </w:t>
      </w:r>
    </w:p>
    <w:p w:rsidR="007757E7" w:rsidRDefault="007757E7" w:rsidP="00770E48">
      <w:pPr>
        <w:jc w:val="center"/>
        <w:rPr>
          <w:sz w:val="24"/>
          <w:szCs w:val="24"/>
          <w:lang w:val="tr-TR"/>
        </w:rPr>
      </w:pPr>
    </w:p>
    <w:p w:rsidR="007757E7" w:rsidRDefault="007757E7" w:rsidP="00770E48">
      <w:pPr>
        <w:jc w:val="both"/>
        <w:rPr>
          <w:sz w:val="24"/>
          <w:lang w:val="tr-TR"/>
        </w:rPr>
      </w:pPr>
      <w:r>
        <w:rPr>
          <w:sz w:val="24"/>
          <w:szCs w:val="24"/>
          <w:lang w:val="tr-TR"/>
        </w:rPr>
        <w:t xml:space="preserve">   Tarımsal İlaçların Denetimi </w:t>
      </w:r>
      <w:r>
        <w:rPr>
          <w:sz w:val="24"/>
          <w:lang w:val="tr-TR"/>
        </w:rPr>
        <w:t>Yasası kurallarına uyulup uyulmadığını saptamak amacı ile yetkilendirilen müfettişlerin tanımında sadece ziraat mühendisi kamu görevlisinin kapsama alınması ziraat mühendisi kadrolarının azlığı nedeniyle uygulamada çok büyük bir sorun teşkil etmekte ve Denetim yapılması gereken yerlerde yeterli sayıda ziraat mühendisi olmaması nedeniyle görevlendirme yapılamamaktadır.</w:t>
      </w:r>
    </w:p>
    <w:p w:rsidR="007757E7" w:rsidRDefault="007757E7" w:rsidP="00770E48">
      <w:pPr>
        <w:jc w:val="both"/>
        <w:rPr>
          <w:sz w:val="24"/>
          <w:lang w:val="tr-TR"/>
        </w:rPr>
      </w:pPr>
    </w:p>
    <w:p w:rsidR="007757E7" w:rsidRDefault="007757E7" w:rsidP="00770E48">
      <w:pPr>
        <w:jc w:val="both"/>
        <w:rPr>
          <w:sz w:val="24"/>
          <w:lang w:val="tr-TR"/>
        </w:rPr>
      </w:pPr>
      <w:r>
        <w:rPr>
          <w:sz w:val="24"/>
          <w:lang w:val="tr-TR"/>
        </w:rPr>
        <w:t xml:space="preserve">  </w:t>
      </w:r>
      <w:r w:rsidRPr="00FE43C1">
        <w:rPr>
          <w:sz w:val="24"/>
          <w:lang w:val="tr-TR"/>
        </w:rPr>
        <w:t>Tarımsal ilaç ve hormonların, insan ve hayvan sağlığına</w:t>
      </w:r>
      <w:r>
        <w:rPr>
          <w:sz w:val="24"/>
          <w:lang w:val="tr-TR"/>
        </w:rPr>
        <w:t xml:space="preserve"> zararlı olup olmadıklarının denetlenmesi kamu sağlığı bakımından büyük bir önem arz ettiğinden bu (Değişiklik) Yasa Tasarısının düzenlenmesine gerek duyulmuştur.</w:t>
      </w:r>
    </w:p>
    <w:p w:rsidR="007757E7" w:rsidRDefault="007757E7" w:rsidP="00770E48">
      <w:pPr>
        <w:jc w:val="both"/>
        <w:rPr>
          <w:sz w:val="24"/>
          <w:lang w:val="tr-TR"/>
        </w:rPr>
      </w:pPr>
    </w:p>
    <w:p w:rsidR="007757E7" w:rsidRDefault="007757E7" w:rsidP="00770E48">
      <w:pPr>
        <w:jc w:val="both"/>
        <w:rPr>
          <w:sz w:val="24"/>
          <w:lang w:val="tr-TR"/>
        </w:rPr>
      </w:pPr>
    </w:p>
    <w:p w:rsidR="007757E7" w:rsidRDefault="007757E7" w:rsidP="00770E48">
      <w:pPr>
        <w:jc w:val="center"/>
        <w:rPr>
          <w:sz w:val="24"/>
          <w:lang w:val="tr-TR"/>
        </w:rPr>
      </w:pPr>
      <w:r>
        <w:rPr>
          <w:sz w:val="24"/>
          <w:lang w:val="tr-TR"/>
        </w:rPr>
        <w:t>MADDE GEREKÇELERİ</w:t>
      </w:r>
    </w:p>
    <w:p w:rsidR="007757E7" w:rsidRDefault="007757E7" w:rsidP="00770E48">
      <w:pPr>
        <w:jc w:val="center"/>
        <w:rPr>
          <w:sz w:val="24"/>
          <w:lang w:val="tr-TR"/>
        </w:rPr>
      </w:pPr>
    </w:p>
    <w:tbl>
      <w:tblPr>
        <w:tblW w:w="0" w:type="auto"/>
        <w:tblLook w:val="00A0"/>
      </w:tblPr>
      <w:tblGrid>
        <w:gridCol w:w="1242"/>
        <w:gridCol w:w="7513"/>
      </w:tblGrid>
      <w:tr w:rsidR="007757E7" w:rsidTr="007C0B80">
        <w:tc>
          <w:tcPr>
            <w:tcW w:w="1242" w:type="dxa"/>
          </w:tcPr>
          <w:p w:rsidR="007757E7" w:rsidRPr="007C0B80" w:rsidRDefault="007757E7" w:rsidP="007C0B80">
            <w:pPr>
              <w:jc w:val="both"/>
              <w:rPr>
                <w:sz w:val="24"/>
                <w:lang w:val="tr-TR"/>
              </w:rPr>
            </w:pPr>
            <w:r w:rsidRPr="007C0B80">
              <w:rPr>
                <w:sz w:val="24"/>
                <w:lang w:val="tr-TR"/>
              </w:rPr>
              <w:t>Madde 1.</w:t>
            </w:r>
          </w:p>
        </w:tc>
        <w:tc>
          <w:tcPr>
            <w:tcW w:w="7513" w:type="dxa"/>
          </w:tcPr>
          <w:p w:rsidR="007757E7" w:rsidRPr="007C0B80" w:rsidRDefault="007757E7" w:rsidP="007C0B80">
            <w:pPr>
              <w:jc w:val="both"/>
              <w:rPr>
                <w:sz w:val="24"/>
                <w:lang w:val="tr-TR"/>
              </w:rPr>
            </w:pPr>
            <w:r w:rsidRPr="007C0B80">
              <w:rPr>
                <w:sz w:val="24"/>
                <w:lang w:val="tr-TR"/>
              </w:rPr>
              <w:t>Yasanın kısa ismini düzenlemektedir.</w:t>
            </w:r>
          </w:p>
          <w:p w:rsidR="007757E7" w:rsidRPr="007C0B80" w:rsidRDefault="007757E7" w:rsidP="007C0B80">
            <w:pPr>
              <w:jc w:val="both"/>
              <w:rPr>
                <w:sz w:val="24"/>
                <w:lang w:val="tr-TR"/>
              </w:rPr>
            </w:pPr>
          </w:p>
        </w:tc>
      </w:tr>
      <w:tr w:rsidR="007757E7" w:rsidTr="007C0B80">
        <w:tc>
          <w:tcPr>
            <w:tcW w:w="1242" w:type="dxa"/>
          </w:tcPr>
          <w:p w:rsidR="007757E7" w:rsidRPr="007C0B80" w:rsidRDefault="007757E7" w:rsidP="007C0B80">
            <w:pPr>
              <w:jc w:val="both"/>
              <w:rPr>
                <w:sz w:val="24"/>
                <w:lang w:val="tr-TR"/>
              </w:rPr>
            </w:pPr>
            <w:r w:rsidRPr="007C0B80">
              <w:rPr>
                <w:sz w:val="24"/>
                <w:lang w:val="tr-TR"/>
              </w:rPr>
              <w:t>Madde 2.</w:t>
            </w:r>
          </w:p>
        </w:tc>
        <w:tc>
          <w:tcPr>
            <w:tcW w:w="7513" w:type="dxa"/>
          </w:tcPr>
          <w:p w:rsidR="007757E7" w:rsidRPr="007C0B80" w:rsidRDefault="007757E7" w:rsidP="007C0B80">
            <w:pPr>
              <w:jc w:val="both"/>
              <w:rPr>
                <w:sz w:val="24"/>
                <w:lang w:val="tr-TR"/>
              </w:rPr>
            </w:pPr>
            <w:r w:rsidRPr="007C0B80">
              <w:rPr>
                <w:sz w:val="24"/>
                <w:lang w:val="tr-TR"/>
              </w:rPr>
              <w:t xml:space="preserve">Yasanın 2’nci maddesinde yer alan “Müfettiş” tefsiri yeniden düzenlenmiştir.                    </w:t>
            </w:r>
          </w:p>
          <w:p w:rsidR="007757E7" w:rsidRPr="007C0B80" w:rsidRDefault="007757E7" w:rsidP="007C0B80">
            <w:pPr>
              <w:jc w:val="both"/>
              <w:rPr>
                <w:sz w:val="24"/>
                <w:lang w:val="tr-TR"/>
              </w:rPr>
            </w:pPr>
            <w:r w:rsidRPr="007C0B80">
              <w:rPr>
                <w:sz w:val="24"/>
                <w:lang w:val="tr-TR"/>
              </w:rPr>
              <w:t xml:space="preserve"> </w:t>
            </w:r>
          </w:p>
        </w:tc>
      </w:tr>
      <w:tr w:rsidR="007757E7" w:rsidTr="007C0B80">
        <w:tc>
          <w:tcPr>
            <w:tcW w:w="1242" w:type="dxa"/>
          </w:tcPr>
          <w:p w:rsidR="007757E7" w:rsidRPr="007C0B80" w:rsidRDefault="007757E7" w:rsidP="007C0B80">
            <w:pPr>
              <w:jc w:val="both"/>
              <w:rPr>
                <w:sz w:val="24"/>
                <w:lang w:val="tr-TR"/>
              </w:rPr>
            </w:pPr>
            <w:r w:rsidRPr="007C0B80">
              <w:rPr>
                <w:sz w:val="24"/>
                <w:lang w:val="tr-TR"/>
              </w:rPr>
              <w:t xml:space="preserve">Madde 3. </w:t>
            </w:r>
          </w:p>
        </w:tc>
        <w:tc>
          <w:tcPr>
            <w:tcW w:w="7513" w:type="dxa"/>
          </w:tcPr>
          <w:p w:rsidR="007757E7" w:rsidRPr="007C0B80" w:rsidRDefault="007757E7" w:rsidP="007C0B80">
            <w:pPr>
              <w:jc w:val="both"/>
              <w:rPr>
                <w:sz w:val="24"/>
                <w:lang w:val="tr-TR"/>
              </w:rPr>
            </w:pPr>
            <w:r w:rsidRPr="007C0B80">
              <w:rPr>
                <w:sz w:val="24"/>
                <w:lang w:val="tr-TR"/>
              </w:rPr>
              <w:t>Yasanın yürürlüğe giriş tarihini düzenlemektedir.</w:t>
            </w:r>
          </w:p>
        </w:tc>
      </w:tr>
    </w:tbl>
    <w:p w:rsidR="007757E7" w:rsidRDefault="007757E7" w:rsidP="00770E48">
      <w:pPr>
        <w:jc w:val="center"/>
        <w:rPr>
          <w:sz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Default="007757E7" w:rsidP="005D438E">
      <w:pPr>
        <w:jc w:val="center"/>
        <w:rPr>
          <w:sz w:val="24"/>
          <w:szCs w:val="24"/>
          <w:lang w:val="tr-TR"/>
        </w:rPr>
      </w:pPr>
    </w:p>
    <w:p w:rsidR="007757E7" w:rsidRPr="00B4437F" w:rsidRDefault="007757E7" w:rsidP="005D438E">
      <w:pPr>
        <w:jc w:val="center"/>
        <w:rPr>
          <w:sz w:val="24"/>
          <w:szCs w:val="24"/>
          <w:lang w:val="tr-TR"/>
        </w:rPr>
      </w:pPr>
      <w:r w:rsidRPr="00B4437F">
        <w:rPr>
          <w:sz w:val="24"/>
          <w:szCs w:val="24"/>
          <w:lang w:val="tr-TR"/>
        </w:rPr>
        <w:t>TARIMSAL İLAÇLARIN DENETİMİ</w:t>
      </w:r>
    </w:p>
    <w:p w:rsidR="007757E7" w:rsidRDefault="007757E7" w:rsidP="005D438E">
      <w:pPr>
        <w:jc w:val="center"/>
        <w:rPr>
          <w:sz w:val="24"/>
          <w:szCs w:val="24"/>
          <w:lang w:val="tr-TR"/>
        </w:rPr>
      </w:pPr>
      <w:r w:rsidRPr="00B4437F">
        <w:rPr>
          <w:sz w:val="24"/>
          <w:szCs w:val="24"/>
          <w:lang w:val="tr-TR"/>
        </w:rPr>
        <w:t xml:space="preserve">HAKKINDA </w:t>
      </w:r>
      <w:r>
        <w:rPr>
          <w:sz w:val="24"/>
          <w:szCs w:val="24"/>
          <w:lang w:val="tr-TR"/>
        </w:rPr>
        <w:t xml:space="preserve">(DEĞİŞİKLİK) </w:t>
      </w:r>
      <w:r w:rsidRPr="00B4437F">
        <w:rPr>
          <w:sz w:val="24"/>
          <w:szCs w:val="24"/>
          <w:lang w:val="tr-TR"/>
        </w:rPr>
        <w:t>YASA</w:t>
      </w:r>
      <w:r>
        <w:rPr>
          <w:sz w:val="24"/>
          <w:szCs w:val="24"/>
          <w:lang w:val="tr-TR"/>
        </w:rPr>
        <w:t xml:space="preserve"> TASARISI</w:t>
      </w:r>
    </w:p>
    <w:p w:rsidR="007757E7" w:rsidRDefault="007757E7" w:rsidP="005D438E">
      <w:pPr>
        <w:jc w:val="center"/>
        <w:rPr>
          <w:sz w:val="24"/>
          <w:szCs w:val="24"/>
          <w:lang w:val="tr-TR"/>
        </w:rPr>
      </w:pPr>
    </w:p>
    <w:p w:rsidR="007757E7" w:rsidRDefault="007757E7" w:rsidP="00C534CA">
      <w:pPr>
        <w:jc w:val="both"/>
        <w:rPr>
          <w:sz w:val="24"/>
          <w:szCs w:val="24"/>
          <w:lang w:val="tr-TR"/>
        </w:rPr>
      </w:pPr>
      <w:r>
        <w:rPr>
          <w:sz w:val="24"/>
          <w:szCs w:val="24"/>
          <w:lang w:val="tr-TR"/>
        </w:rPr>
        <w:t xml:space="preserve">                  Kuzey Kıbrıs Türk Cumhuriyeti Cumhuriyet Meclisi aşağıdaki Yasayı </w:t>
      </w:r>
    </w:p>
    <w:p w:rsidR="007757E7" w:rsidRDefault="007757E7" w:rsidP="00C534CA">
      <w:pPr>
        <w:jc w:val="both"/>
        <w:rPr>
          <w:sz w:val="24"/>
          <w:szCs w:val="24"/>
          <w:lang w:val="tr-TR"/>
        </w:rPr>
      </w:pPr>
      <w:r>
        <w:rPr>
          <w:sz w:val="24"/>
          <w:szCs w:val="24"/>
          <w:lang w:val="tr-TR"/>
        </w:rPr>
        <w:t xml:space="preserve">         yapar:</w:t>
      </w:r>
    </w:p>
    <w:p w:rsidR="007757E7" w:rsidRDefault="007757E7" w:rsidP="005D438E">
      <w:pPr>
        <w:jc w:val="center"/>
        <w:rPr>
          <w:sz w:val="24"/>
          <w:szCs w:val="24"/>
          <w:lang w:val="tr-TR"/>
        </w:rPr>
      </w:pPr>
    </w:p>
    <w:p w:rsidR="007757E7" w:rsidRDefault="007757E7" w:rsidP="005D438E">
      <w:pPr>
        <w:jc w:val="center"/>
        <w:rPr>
          <w:sz w:val="24"/>
          <w:szCs w:val="24"/>
          <w:lang w:val="tr-TR"/>
        </w:rPr>
      </w:pPr>
    </w:p>
    <w:tbl>
      <w:tblPr>
        <w:tblW w:w="0" w:type="auto"/>
        <w:tblLook w:val="00A0"/>
      </w:tblPr>
      <w:tblGrid>
        <w:gridCol w:w="1576"/>
        <w:gridCol w:w="426"/>
        <w:gridCol w:w="6753"/>
      </w:tblGrid>
      <w:tr w:rsidR="007757E7" w:rsidTr="007C0B80">
        <w:tc>
          <w:tcPr>
            <w:tcW w:w="1576" w:type="dxa"/>
          </w:tcPr>
          <w:p w:rsidR="007757E7" w:rsidRPr="007C0B80" w:rsidRDefault="007757E7" w:rsidP="00C534CA">
            <w:pPr>
              <w:rPr>
                <w:sz w:val="24"/>
                <w:szCs w:val="24"/>
                <w:lang w:val="tr-TR"/>
              </w:rPr>
            </w:pPr>
            <w:r w:rsidRPr="007C0B80">
              <w:rPr>
                <w:sz w:val="24"/>
                <w:szCs w:val="24"/>
                <w:lang w:val="tr-TR"/>
              </w:rPr>
              <w:t>Kısa İsim</w:t>
            </w:r>
          </w:p>
          <w:p w:rsidR="007757E7" w:rsidRPr="007C0B80" w:rsidRDefault="007757E7" w:rsidP="00C534CA">
            <w:pPr>
              <w:rPr>
                <w:sz w:val="24"/>
                <w:szCs w:val="24"/>
                <w:lang w:val="tr-TR"/>
              </w:rPr>
            </w:pPr>
            <w:r w:rsidRPr="007C0B80">
              <w:rPr>
                <w:sz w:val="24"/>
                <w:szCs w:val="24"/>
                <w:lang w:val="tr-TR"/>
              </w:rPr>
              <w:t>64/1987</w:t>
            </w:r>
          </w:p>
          <w:p w:rsidR="007757E7" w:rsidRPr="007C0B80" w:rsidRDefault="007757E7" w:rsidP="007C0B80">
            <w:pPr>
              <w:ind w:left="142"/>
              <w:rPr>
                <w:sz w:val="24"/>
                <w:szCs w:val="24"/>
                <w:lang w:val="tr-TR"/>
              </w:rPr>
            </w:pPr>
            <w:r w:rsidRPr="007C0B80">
              <w:rPr>
                <w:sz w:val="24"/>
                <w:szCs w:val="24"/>
                <w:lang w:val="tr-TR"/>
              </w:rPr>
              <w:t>28/1989    82/2007</w:t>
            </w:r>
          </w:p>
          <w:p w:rsidR="007757E7" w:rsidRPr="007C0B80" w:rsidRDefault="007757E7" w:rsidP="009D3F3B">
            <w:pPr>
              <w:rPr>
                <w:sz w:val="24"/>
                <w:szCs w:val="24"/>
                <w:lang w:val="tr-TR"/>
              </w:rPr>
            </w:pPr>
          </w:p>
        </w:tc>
        <w:tc>
          <w:tcPr>
            <w:tcW w:w="426" w:type="dxa"/>
          </w:tcPr>
          <w:p w:rsidR="007757E7" w:rsidRPr="007C0B80" w:rsidRDefault="007757E7" w:rsidP="00C534CA">
            <w:pPr>
              <w:rPr>
                <w:sz w:val="24"/>
                <w:szCs w:val="24"/>
                <w:lang w:val="tr-TR"/>
              </w:rPr>
            </w:pPr>
            <w:r w:rsidRPr="007C0B80">
              <w:rPr>
                <w:sz w:val="24"/>
                <w:szCs w:val="24"/>
                <w:lang w:val="tr-TR"/>
              </w:rPr>
              <w:t>1.</w:t>
            </w:r>
          </w:p>
        </w:tc>
        <w:tc>
          <w:tcPr>
            <w:tcW w:w="6753" w:type="dxa"/>
          </w:tcPr>
          <w:p w:rsidR="007757E7" w:rsidRPr="007C0B80" w:rsidRDefault="007757E7" w:rsidP="007C0B80">
            <w:pPr>
              <w:jc w:val="both"/>
              <w:rPr>
                <w:sz w:val="24"/>
                <w:szCs w:val="24"/>
                <w:lang w:val="tr-TR"/>
              </w:rPr>
            </w:pPr>
            <w:r w:rsidRPr="007C0B80">
              <w:rPr>
                <w:sz w:val="24"/>
                <w:szCs w:val="24"/>
                <w:lang w:val="tr-TR"/>
              </w:rPr>
              <w:t>Bu Yasa, Tarımsal İlaçlar (Değişiklik) Yasası olarak isimlendirilir ve aşağıda “Esas Yasa” olarak anılan Tarımsal İlaçlar Yasası ile birlikte okunur.</w:t>
            </w:r>
          </w:p>
          <w:p w:rsidR="007757E7" w:rsidRPr="007C0B80" w:rsidRDefault="007757E7" w:rsidP="007C0B80">
            <w:pPr>
              <w:jc w:val="both"/>
              <w:rPr>
                <w:sz w:val="24"/>
                <w:szCs w:val="24"/>
                <w:lang w:val="tr-TR"/>
              </w:rPr>
            </w:pPr>
          </w:p>
        </w:tc>
      </w:tr>
      <w:tr w:rsidR="007757E7" w:rsidTr="007C0B80">
        <w:tc>
          <w:tcPr>
            <w:tcW w:w="1576" w:type="dxa"/>
          </w:tcPr>
          <w:p w:rsidR="007757E7" w:rsidRPr="007C0B80" w:rsidRDefault="007757E7" w:rsidP="00C534CA">
            <w:pPr>
              <w:rPr>
                <w:sz w:val="24"/>
                <w:szCs w:val="24"/>
                <w:lang w:val="tr-TR"/>
              </w:rPr>
            </w:pPr>
            <w:r w:rsidRPr="007C0B80">
              <w:rPr>
                <w:sz w:val="24"/>
                <w:szCs w:val="24"/>
                <w:lang w:val="tr-TR"/>
              </w:rPr>
              <w:t>Esas Yasanın 2’nci Maddesinin Değiştirilmesi</w:t>
            </w:r>
          </w:p>
        </w:tc>
        <w:tc>
          <w:tcPr>
            <w:tcW w:w="426" w:type="dxa"/>
          </w:tcPr>
          <w:p w:rsidR="007757E7" w:rsidRPr="007C0B80" w:rsidRDefault="007757E7" w:rsidP="00C534CA">
            <w:pPr>
              <w:rPr>
                <w:sz w:val="24"/>
                <w:szCs w:val="24"/>
                <w:lang w:val="tr-TR"/>
              </w:rPr>
            </w:pPr>
            <w:r w:rsidRPr="007C0B80">
              <w:rPr>
                <w:sz w:val="24"/>
                <w:szCs w:val="24"/>
                <w:lang w:val="tr-TR"/>
              </w:rPr>
              <w:t>2.</w:t>
            </w:r>
          </w:p>
        </w:tc>
        <w:tc>
          <w:tcPr>
            <w:tcW w:w="6753" w:type="dxa"/>
          </w:tcPr>
          <w:p w:rsidR="007757E7" w:rsidRPr="007C0B80" w:rsidRDefault="007757E7" w:rsidP="007C0B80">
            <w:pPr>
              <w:jc w:val="both"/>
              <w:rPr>
                <w:sz w:val="24"/>
                <w:szCs w:val="24"/>
                <w:lang w:val="tr-TR"/>
              </w:rPr>
            </w:pPr>
            <w:r w:rsidRPr="007C0B80">
              <w:rPr>
                <w:sz w:val="24"/>
                <w:szCs w:val="24"/>
                <w:lang w:val="tr-TR"/>
              </w:rPr>
              <w:t>Esas Yasa, 2’nci maddesinde yer alan “Müfettiş” tefsiri kaldırılmak ve yerine aşağıdaki yeni “Müfettiş” tefsiri konmak suretiyle değiştirilir:</w:t>
            </w:r>
          </w:p>
          <w:p w:rsidR="007757E7" w:rsidRPr="007C0B80" w:rsidRDefault="007757E7" w:rsidP="007C0B80">
            <w:pPr>
              <w:jc w:val="both"/>
              <w:rPr>
                <w:sz w:val="24"/>
                <w:szCs w:val="24"/>
                <w:lang w:val="tr-TR"/>
              </w:rPr>
            </w:pPr>
          </w:p>
          <w:p w:rsidR="007757E7" w:rsidRPr="007C0B80" w:rsidRDefault="007757E7" w:rsidP="007C0B80">
            <w:pPr>
              <w:jc w:val="both"/>
              <w:rPr>
                <w:sz w:val="24"/>
                <w:szCs w:val="24"/>
                <w:lang w:val="tr-TR"/>
              </w:rPr>
            </w:pPr>
            <w:r w:rsidRPr="007C0B80">
              <w:rPr>
                <w:sz w:val="24"/>
                <w:szCs w:val="24"/>
                <w:lang w:val="tr-TR"/>
              </w:rPr>
              <w:t>“ “Müfettiş”, bu Yasa amaçları bakımından Bakan tarafından görevlendirilen ziraat mühendisi ve/veya tarım teknisyeni kamu görevlisi ile Sağlık İşleri ile görevli Bakan tarafından görevlendirilen eczacı veya kimyager ve/veya sıhhiye müfettişi kamu görevlisini anlatır.”</w:t>
            </w:r>
          </w:p>
          <w:p w:rsidR="007757E7" w:rsidRPr="007C0B80" w:rsidRDefault="007757E7" w:rsidP="007C0B80">
            <w:pPr>
              <w:jc w:val="both"/>
              <w:rPr>
                <w:sz w:val="24"/>
                <w:szCs w:val="24"/>
                <w:lang w:val="tr-TR"/>
              </w:rPr>
            </w:pPr>
          </w:p>
        </w:tc>
      </w:tr>
      <w:tr w:rsidR="007757E7" w:rsidTr="007C0B80">
        <w:tc>
          <w:tcPr>
            <w:tcW w:w="1576" w:type="dxa"/>
          </w:tcPr>
          <w:p w:rsidR="007757E7" w:rsidRPr="007C0B80" w:rsidRDefault="007757E7" w:rsidP="00C534CA">
            <w:pPr>
              <w:rPr>
                <w:sz w:val="24"/>
                <w:szCs w:val="24"/>
                <w:lang w:val="tr-TR"/>
              </w:rPr>
            </w:pPr>
            <w:r w:rsidRPr="007C0B80">
              <w:rPr>
                <w:sz w:val="24"/>
                <w:szCs w:val="24"/>
                <w:lang w:val="tr-TR"/>
              </w:rPr>
              <w:t>Yürürlüğe Giriş</w:t>
            </w:r>
          </w:p>
        </w:tc>
        <w:tc>
          <w:tcPr>
            <w:tcW w:w="426" w:type="dxa"/>
          </w:tcPr>
          <w:p w:rsidR="007757E7" w:rsidRPr="007C0B80" w:rsidRDefault="007757E7" w:rsidP="00C534CA">
            <w:pPr>
              <w:rPr>
                <w:sz w:val="24"/>
                <w:szCs w:val="24"/>
                <w:lang w:val="tr-TR"/>
              </w:rPr>
            </w:pPr>
            <w:r w:rsidRPr="007C0B80">
              <w:rPr>
                <w:sz w:val="24"/>
                <w:szCs w:val="24"/>
                <w:lang w:val="tr-TR"/>
              </w:rPr>
              <w:t>3.</w:t>
            </w:r>
          </w:p>
        </w:tc>
        <w:tc>
          <w:tcPr>
            <w:tcW w:w="6753" w:type="dxa"/>
          </w:tcPr>
          <w:p w:rsidR="007757E7" w:rsidRPr="007C0B80" w:rsidRDefault="007757E7" w:rsidP="007C0B80">
            <w:pPr>
              <w:jc w:val="both"/>
              <w:rPr>
                <w:sz w:val="24"/>
                <w:szCs w:val="24"/>
                <w:lang w:val="tr-TR"/>
              </w:rPr>
            </w:pPr>
            <w:r w:rsidRPr="007C0B80">
              <w:rPr>
                <w:sz w:val="24"/>
                <w:szCs w:val="24"/>
                <w:lang w:val="tr-TR"/>
              </w:rPr>
              <w:t>Bu Yasa, Resmi Gazete’de yayımlandığı tarihten başlayarak yürürlüğe girer.</w:t>
            </w:r>
          </w:p>
        </w:tc>
      </w:tr>
    </w:tbl>
    <w:p w:rsidR="007757E7" w:rsidRDefault="007757E7" w:rsidP="005D438E">
      <w:pPr>
        <w:jc w:val="center"/>
        <w:rPr>
          <w:sz w:val="24"/>
          <w:szCs w:val="24"/>
          <w:lang w:val="tr-TR"/>
        </w:rPr>
      </w:pPr>
    </w:p>
    <w:p w:rsidR="007757E7" w:rsidRDefault="007757E7">
      <w:r>
        <w:t xml:space="preserve">                                                                                                                                                                                                                                                                                     </w:t>
      </w:r>
    </w:p>
    <w:sectPr w:rsidR="007757E7" w:rsidSect="00C534CA">
      <w:pgSz w:w="11906" w:h="16838"/>
      <w:pgMar w:top="1417" w:right="155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43C"/>
    <w:rsid w:val="00016588"/>
    <w:rsid w:val="000B38BD"/>
    <w:rsid w:val="00180A5A"/>
    <w:rsid w:val="0019608C"/>
    <w:rsid w:val="001A7AB8"/>
    <w:rsid w:val="001B257D"/>
    <w:rsid w:val="00283FCF"/>
    <w:rsid w:val="003461DD"/>
    <w:rsid w:val="00354ACB"/>
    <w:rsid w:val="003850C0"/>
    <w:rsid w:val="00412857"/>
    <w:rsid w:val="00425BDB"/>
    <w:rsid w:val="00444484"/>
    <w:rsid w:val="00455390"/>
    <w:rsid w:val="00540F03"/>
    <w:rsid w:val="005756F6"/>
    <w:rsid w:val="005840D6"/>
    <w:rsid w:val="005A2721"/>
    <w:rsid w:val="005D438E"/>
    <w:rsid w:val="00770E48"/>
    <w:rsid w:val="007757E7"/>
    <w:rsid w:val="007C0B80"/>
    <w:rsid w:val="0080343C"/>
    <w:rsid w:val="008269B8"/>
    <w:rsid w:val="009D3F3B"/>
    <w:rsid w:val="00B4437F"/>
    <w:rsid w:val="00BC00B9"/>
    <w:rsid w:val="00C13A8C"/>
    <w:rsid w:val="00C46B46"/>
    <w:rsid w:val="00C525DD"/>
    <w:rsid w:val="00C534CA"/>
    <w:rsid w:val="00DE069C"/>
    <w:rsid w:val="00E16F4B"/>
    <w:rsid w:val="00EB4E80"/>
    <w:rsid w:val="00FB1DE7"/>
    <w:rsid w:val="00FE43C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8E"/>
    <w:pPr>
      <w:overflowPunct w:val="0"/>
      <w:autoSpaceDE w:val="0"/>
      <w:autoSpaceDN w:val="0"/>
      <w:adjustRightInd w:val="0"/>
      <w:textAlignment w:val="baseline"/>
    </w:pPr>
    <w:rPr>
      <w:rFonts w:ascii="Times New Roman" w:eastAsia="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34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525DD"/>
    <w:rPr>
      <w:rFonts w:ascii="Tahoma" w:hAnsi="Tahoma" w:cs="Tahoma"/>
      <w:sz w:val="16"/>
      <w:szCs w:val="16"/>
    </w:rPr>
  </w:style>
  <w:style w:type="character" w:customStyle="1" w:styleId="BalloonTextChar">
    <w:name w:val="Balloon Text Char"/>
    <w:basedOn w:val="DefaultParagraphFont"/>
    <w:link w:val="BalloonText"/>
    <w:uiPriority w:val="99"/>
    <w:semiHidden/>
    <w:rsid w:val="00FC2307"/>
    <w:rPr>
      <w:rFonts w:ascii="Times New Roman" w:eastAsia="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324</Words>
  <Characters>1849</Characters>
  <Application>Microsoft Office Outlook</Application>
  <DocSecurity>0</DocSecurity>
  <Lines>0</Lines>
  <Paragraphs>0</Paragraphs>
  <ScaleCrop>false</ScaleCrop>
  <Company>TEL: 22 55 965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TARIMSAL İLAÇLARIN DENETİMİ</dc:title>
  <dc:subject/>
  <dc:creator>senal gursoy</dc:creator>
  <cp:keywords/>
  <dc:description/>
  <cp:lastModifiedBy>seral.firat</cp:lastModifiedBy>
  <cp:revision>2</cp:revision>
  <cp:lastPrinted>2014-01-22T09:19:00Z</cp:lastPrinted>
  <dcterms:created xsi:type="dcterms:W3CDTF">2014-01-22T09:23:00Z</dcterms:created>
  <dcterms:modified xsi:type="dcterms:W3CDTF">2014-01-22T09:23:00Z</dcterms:modified>
</cp:coreProperties>
</file>